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9A52" w14:textId="6C8E5207" w:rsidR="0080420D" w:rsidRDefault="0080420D" w:rsidP="0080420D">
      <w:pPr>
        <w:pStyle w:val="Heading1"/>
        <w:jc w:val="center"/>
        <w:rPr>
          <w:rFonts w:eastAsia="Times New Roman"/>
          <w:lang w:val="vi-VN"/>
        </w:rPr>
      </w:pPr>
      <w:r w:rsidRPr="0080420D">
        <w:rPr>
          <w:rFonts w:eastAsia="Times New Roman"/>
          <w:lang w:val="vi-VN"/>
        </w:rPr>
        <w:t>BẢNG GIÁ PHỤ KIỆN Ô TÔ</w:t>
      </w:r>
    </w:p>
    <w:p w14:paraId="2AEDDA91" w14:textId="77777777" w:rsidR="0080420D" w:rsidRPr="0080420D" w:rsidRDefault="0080420D" w:rsidP="0080420D">
      <w:pPr>
        <w:rPr>
          <w:lang w:val="vi-VN"/>
        </w:rPr>
      </w:pPr>
    </w:p>
    <w:p w14:paraId="6197C13A" w14:textId="0857577A"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t>Chúng tôi là cửa hàng chuyên cung cấp, bán sỉ, lẻ và tiến hành lắp đặt </w:t>
      </w:r>
      <w:r w:rsidRPr="0080420D">
        <w:rPr>
          <w:rFonts w:ascii="Arial" w:eastAsia="Times New Roman" w:hAnsi="Arial" w:cs="Arial"/>
          <w:b/>
          <w:bCs/>
          <w:color w:val="777777"/>
        </w:rPr>
        <w:t>phụ kiện đồ chơi xe ô tô </w:t>
      </w:r>
      <w:r w:rsidRPr="0080420D">
        <w:rPr>
          <w:rFonts w:ascii="Arial" w:eastAsia="Times New Roman" w:hAnsi="Arial" w:cs="Arial"/>
          <w:color w:val="777777"/>
        </w:rPr>
        <w:t>chuyên nghiệp và uy tín trên thị trường </w:t>
      </w:r>
      <w:r w:rsidRPr="0080420D">
        <w:rPr>
          <w:rFonts w:ascii="Arial" w:eastAsia="Times New Roman" w:hAnsi="Arial" w:cs="Arial"/>
          <w:b/>
          <w:bCs/>
          <w:color w:val="777777"/>
        </w:rPr>
        <w:t>Otovina</w:t>
      </w:r>
      <w:r w:rsidRPr="0080420D">
        <w:rPr>
          <w:rFonts w:ascii="Arial" w:eastAsia="Times New Roman" w:hAnsi="Arial" w:cs="Arial"/>
          <w:color w:val="777777"/>
        </w:rPr>
        <w:t> xin cam kết rằng </w:t>
      </w:r>
      <w:r w:rsidRPr="0080420D">
        <w:rPr>
          <w:rFonts w:ascii="Arial" w:eastAsia="Times New Roman" w:hAnsi="Arial" w:cs="Arial"/>
          <w:b/>
          <w:bCs/>
          <w:color w:val="777777"/>
        </w:rPr>
        <w:t>giá thành dịch vụ lắp đặt phụ kiện đồ chơi cho xe ô tô</w:t>
      </w:r>
      <w:r w:rsidRPr="0080420D">
        <w:rPr>
          <w:rFonts w:ascii="Arial" w:eastAsia="Times New Roman" w:hAnsi="Arial" w:cs="Arial"/>
          <w:color w:val="777777"/>
        </w:rPr>
        <w:t> của công ty luôn nằm trong top cạnh tranh nhất trên thị trường, đặc biệt là không nâng giá hay giảm chất lượng dịch vụ, chỉ vì những lợi ích trước mắt.</w:t>
      </w:r>
    </w:p>
    <w:p w14:paraId="15DCB5D9" w14:textId="77777777"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t>Phương châm về giá của chúng tôi là: “Bán lẻ rẻ như bán buôn” để chứng minh điều này, mời bạn xem qua bảng giá của </w:t>
      </w:r>
      <w:r w:rsidRPr="0080420D">
        <w:rPr>
          <w:rFonts w:ascii="Arial" w:eastAsia="Times New Roman" w:hAnsi="Arial" w:cs="Arial"/>
          <w:b/>
          <w:bCs/>
          <w:color w:val="777777"/>
        </w:rPr>
        <w:t>Otovina</w:t>
      </w:r>
      <w:r w:rsidRPr="0080420D">
        <w:rPr>
          <w:rFonts w:ascii="Arial" w:eastAsia="Times New Roman" w:hAnsi="Arial" w:cs="Arial"/>
          <w:color w:val="777777"/>
        </w:rPr>
        <w:t> về các loại phụ kiện đồ chơi sau đây mới update </w:t>
      </w:r>
      <w:r w:rsidRPr="0080420D">
        <w:rPr>
          <w:rFonts w:ascii="Arial" w:eastAsia="Times New Roman" w:hAnsi="Arial" w:cs="Arial"/>
          <w:b/>
          <w:bCs/>
          <w:color w:val="777777"/>
        </w:rPr>
        <w:t>2021</w:t>
      </w:r>
      <w:r w:rsidRPr="0080420D">
        <w:rPr>
          <w:rFonts w:ascii="Arial" w:eastAsia="Times New Roman" w:hAnsi="Arial" w:cs="Arial"/>
          <w:color w:val="777777"/>
        </w:rPr>
        <w:t> nhé:</w:t>
      </w:r>
    </w:p>
    <w:tbl>
      <w:tblPr>
        <w:tblW w:w="6071" w:type="dxa"/>
        <w:tblCellSpacing w:w="15" w:type="dxa"/>
        <w:tblCellMar>
          <w:top w:w="15" w:type="dxa"/>
          <w:left w:w="15" w:type="dxa"/>
          <w:bottom w:w="15" w:type="dxa"/>
          <w:right w:w="15" w:type="dxa"/>
        </w:tblCellMar>
        <w:tblLook w:val="04A0" w:firstRow="1" w:lastRow="0" w:firstColumn="1" w:lastColumn="0" w:noHBand="0" w:noVBand="1"/>
      </w:tblPr>
      <w:tblGrid>
        <w:gridCol w:w="3097"/>
        <w:gridCol w:w="2974"/>
      </w:tblGrid>
      <w:tr w:rsidR="0080420D" w:rsidRPr="0080420D" w14:paraId="5D27D0DD"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4F390F43"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b/>
                <w:bCs/>
                <w:color w:val="666666"/>
                <w:sz w:val="22"/>
                <w:szCs w:val="22"/>
              </w:rPr>
              <w:t>Loại phụ kiện</w:t>
            </w:r>
          </w:p>
        </w:tc>
        <w:tc>
          <w:tcPr>
            <w:tcW w:w="0" w:type="auto"/>
            <w:tcBorders>
              <w:bottom w:val="single" w:sz="6" w:space="0" w:color="ECECEC"/>
            </w:tcBorders>
            <w:tcMar>
              <w:top w:w="120" w:type="dxa"/>
              <w:left w:w="120" w:type="dxa"/>
              <w:bottom w:w="120" w:type="dxa"/>
              <w:right w:w="0" w:type="dxa"/>
            </w:tcMar>
            <w:vAlign w:val="center"/>
            <w:hideMark/>
          </w:tcPr>
          <w:p w14:paraId="5B0B577A"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b/>
                <w:bCs/>
                <w:color w:val="666666"/>
                <w:sz w:val="22"/>
                <w:szCs w:val="22"/>
              </w:rPr>
              <w:t>Giá cả (VNĐ)</w:t>
            </w:r>
          </w:p>
        </w:tc>
      </w:tr>
      <w:tr w:rsidR="0080420D" w:rsidRPr="0080420D" w14:paraId="6BED5ABA"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5B849D8D"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Camera hành trình</w:t>
            </w:r>
          </w:p>
        </w:tc>
        <w:tc>
          <w:tcPr>
            <w:tcW w:w="0" w:type="auto"/>
            <w:tcBorders>
              <w:bottom w:val="single" w:sz="6" w:space="0" w:color="ECECEC"/>
            </w:tcBorders>
            <w:tcMar>
              <w:top w:w="120" w:type="dxa"/>
              <w:left w:w="120" w:type="dxa"/>
              <w:bottom w:w="120" w:type="dxa"/>
              <w:right w:w="0" w:type="dxa"/>
            </w:tcMar>
            <w:vAlign w:val="center"/>
            <w:hideMark/>
          </w:tcPr>
          <w:p w14:paraId="099D2050"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400.000 – 3.000.000</w:t>
            </w:r>
          </w:p>
        </w:tc>
      </w:tr>
      <w:tr w:rsidR="0080420D" w:rsidRPr="0080420D" w14:paraId="7309F99C"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0BBE7E38"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Hệ thống định vị vệ tinh</w:t>
            </w:r>
          </w:p>
        </w:tc>
        <w:tc>
          <w:tcPr>
            <w:tcW w:w="0" w:type="auto"/>
            <w:tcBorders>
              <w:bottom w:val="single" w:sz="6" w:space="0" w:color="ECECEC"/>
            </w:tcBorders>
            <w:tcMar>
              <w:top w:w="120" w:type="dxa"/>
              <w:left w:w="120" w:type="dxa"/>
              <w:bottom w:w="120" w:type="dxa"/>
              <w:right w:w="0" w:type="dxa"/>
            </w:tcMar>
            <w:vAlign w:val="center"/>
            <w:hideMark/>
          </w:tcPr>
          <w:p w14:paraId="25FCEC82"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2.000.000 – 6.000.000</w:t>
            </w:r>
          </w:p>
        </w:tc>
      </w:tr>
      <w:tr w:rsidR="0080420D" w:rsidRPr="0080420D" w14:paraId="476CA956"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60B9D353"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Camera – Cảm biến lùi</w:t>
            </w:r>
          </w:p>
        </w:tc>
        <w:tc>
          <w:tcPr>
            <w:tcW w:w="0" w:type="auto"/>
            <w:tcBorders>
              <w:bottom w:val="single" w:sz="6" w:space="0" w:color="ECECEC"/>
            </w:tcBorders>
            <w:tcMar>
              <w:top w:w="120" w:type="dxa"/>
              <w:left w:w="120" w:type="dxa"/>
              <w:bottom w:w="120" w:type="dxa"/>
              <w:right w:w="0" w:type="dxa"/>
            </w:tcMar>
            <w:vAlign w:val="center"/>
            <w:hideMark/>
          </w:tcPr>
          <w:p w14:paraId="53ED0885"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300.000 – 1.000.000</w:t>
            </w:r>
          </w:p>
        </w:tc>
      </w:tr>
      <w:tr w:rsidR="0080420D" w:rsidRPr="0080420D" w14:paraId="09C369EF"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2EA92BF9"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Bọc tay lái</w:t>
            </w:r>
          </w:p>
        </w:tc>
        <w:tc>
          <w:tcPr>
            <w:tcW w:w="0" w:type="auto"/>
            <w:tcBorders>
              <w:bottom w:val="single" w:sz="6" w:space="0" w:color="ECECEC"/>
            </w:tcBorders>
            <w:tcMar>
              <w:top w:w="120" w:type="dxa"/>
              <w:left w:w="120" w:type="dxa"/>
              <w:bottom w:w="120" w:type="dxa"/>
              <w:right w:w="0" w:type="dxa"/>
            </w:tcMar>
            <w:vAlign w:val="center"/>
            <w:hideMark/>
          </w:tcPr>
          <w:p w14:paraId="2B08C03B"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80.000 – 800.000</w:t>
            </w:r>
          </w:p>
        </w:tc>
      </w:tr>
      <w:tr w:rsidR="0080420D" w:rsidRPr="0080420D" w14:paraId="18F86E19"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28C3A8C7"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Nước hoa ô tô</w:t>
            </w:r>
          </w:p>
        </w:tc>
        <w:tc>
          <w:tcPr>
            <w:tcW w:w="0" w:type="auto"/>
            <w:tcBorders>
              <w:bottom w:val="single" w:sz="6" w:space="0" w:color="ECECEC"/>
            </w:tcBorders>
            <w:tcMar>
              <w:top w:w="120" w:type="dxa"/>
              <w:left w:w="120" w:type="dxa"/>
              <w:bottom w:w="120" w:type="dxa"/>
              <w:right w:w="0" w:type="dxa"/>
            </w:tcMar>
            <w:vAlign w:val="center"/>
            <w:hideMark/>
          </w:tcPr>
          <w:p w14:paraId="752EA18C"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100.000 – 500.000</w:t>
            </w:r>
          </w:p>
        </w:tc>
      </w:tr>
      <w:tr w:rsidR="0080420D" w:rsidRPr="0080420D" w14:paraId="4BEB3CBA"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0DA480D7"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Phim cách nhiệt</w:t>
            </w:r>
          </w:p>
        </w:tc>
        <w:tc>
          <w:tcPr>
            <w:tcW w:w="0" w:type="auto"/>
            <w:tcBorders>
              <w:bottom w:val="single" w:sz="6" w:space="0" w:color="ECECEC"/>
            </w:tcBorders>
            <w:tcMar>
              <w:top w:w="120" w:type="dxa"/>
              <w:left w:w="120" w:type="dxa"/>
              <w:bottom w:w="120" w:type="dxa"/>
              <w:right w:w="0" w:type="dxa"/>
            </w:tcMar>
            <w:vAlign w:val="center"/>
            <w:hideMark/>
          </w:tcPr>
          <w:p w14:paraId="7AEF5DB7"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100.000 – 2.000.000</w:t>
            </w:r>
          </w:p>
        </w:tc>
      </w:tr>
      <w:tr w:rsidR="0080420D" w:rsidRPr="0080420D" w14:paraId="2B3EDCF8" w14:textId="77777777" w:rsidTr="0080420D">
        <w:trPr>
          <w:tblCellSpacing w:w="15" w:type="dxa"/>
        </w:trPr>
        <w:tc>
          <w:tcPr>
            <w:tcW w:w="0" w:type="auto"/>
            <w:tcBorders>
              <w:bottom w:val="single" w:sz="6" w:space="0" w:color="ECECEC"/>
            </w:tcBorders>
            <w:tcMar>
              <w:top w:w="120" w:type="dxa"/>
              <w:left w:w="0" w:type="dxa"/>
              <w:bottom w:w="120" w:type="dxa"/>
              <w:right w:w="120" w:type="dxa"/>
            </w:tcMar>
            <w:vAlign w:val="center"/>
            <w:hideMark/>
          </w:tcPr>
          <w:p w14:paraId="1A85802B"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i/>
                <w:iCs/>
                <w:color w:val="666666"/>
                <w:sz w:val="22"/>
                <w:szCs w:val="22"/>
              </w:rPr>
              <w:t>Bộ thảm lót sàn</w:t>
            </w:r>
          </w:p>
        </w:tc>
        <w:tc>
          <w:tcPr>
            <w:tcW w:w="0" w:type="auto"/>
            <w:tcBorders>
              <w:bottom w:val="single" w:sz="6" w:space="0" w:color="ECECEC"/>
            </w:tcBorders>
            <w:tcMar>
              <w:top w:w="120" w:type="dxa"/>
              <w:left w:w="120" w:type="dxa"/>
              <w:bottom w:w="120" w:type="dxa"/>
              <w:right w:w="0" w:type="dxa"/>
            </w:tcMar>
            <w:vAlign w:val="center"/>
            <w:hideMark/>
          </w:tcPr>
          <w:p w14:paraId="0E92A7DF" w14:textId="77777777" w:rsidR="0080420D" w:rsidRPr="0080420D" w:rsidRDefault="0080420D" w:rsidP="0080420D">
            <w:pPr>
              <w:spacing w:after="240"/>
              <w:rPr>
                <w:rFonts w:ascii="Arial" w:eastAsia="Times New Roman" w:hAnsi="Arial" w:cs="Arial"/>
                <w:color w:val="666666"/>
                <w:sz w:val="22"/>
                <w:szCs w:val="22"/>
              </w:rPr>
            </w:pPr>
            <w:r w:rsidRPr="0080420D">
              <w:rPr>
                <w:rFonts w:ascii="Arial" w:eastAsia="Times New Roman" w:hAnsi="Arial" w:cs="Arial"/>
                <w:color w:val="666666"/>
                <w:sz w:val="22"/>
                <w:szCs w:val="22"/>
              </w:rPr>
              <w:t>250.000 – 2.500.000</w:t>
            </w:r>
          </w:p>
        </w:tc>
      </w:tr>
    </w:tbl>
    <w:p w14:paraId="25AFF076" w14:textId="77777777"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b/>
          <w:bCs/>
          <w:color w:val="777777"/>
        </w:rPr>
        <w:t>Chú ý: </w:t>
      </w:r>
    </w:p>
    <w:p w14:paraId="69A89497" w14:textId="77777777" w:rsidR="0080420D" w:rsidRPr="0080420D" w:rsidRDefault="0080420D" w:rsidP="0080420D">
      <w:pPr>
        <w:numPr>
          <w:ilvl w:val="0"/>
          <w:numId w:val="1"/>
        </w:numPr>
        <w:spacing w:before="100" w:beforeAutospacing="1" w:after="144"/>
        <w:ind w:left="1032"/>
        <w:rPr>
          <w:rFonts w:ascii="Arial" w:eastAsia="Times New Roman" w:hAnsi="Arial" w:cs="Arial"/>
          <w:color w:val="777777"/>
        </w:rPr>
      </w:pPr>
      <w:r w:rsidRPr="0080420D">
        <w:rPr>
          <w:rFonts w:ascii="Arial" w:eastAsia="Times New Roman" w:hAnsi="Arial" w:cs="Arial"/>
          <w:color w:val="777777"/>
        </w:rPr>
        <w:t>Báo giá trên mang tính tham khảo còn phụ thuộc và từng thời điểm bán.</w:t>
      </w:r>
    </w:p>
    <w:p w14:paraId="035947C4" w14:textId="77777777" w:rsidR="0080420D" w:rsidRPr="0080420D" w:rsidRDefault="0080420D" w:rsidP="0080420D">
      <w:pPr>
        <w:numPr>
          <w:ilvl w:val="0"/>
          <w:numId w:val="1"/>
        </w:numPr>
        <w:spacing w:before="100" w:beforeAutospacing="1" w:after="144"/>
        <w:ind w:left="1032"/>
        <w:rPr>
          <w:rFonts w:ascii="Arial" w:eastAsia="Times New Roman" w:hAnsi="Arial" w:cs="Arial"/>
          <w:color w:val="777777"/>
        </w:rPr>
      </w:pPr>
      <w:r w:rsidRPr="0080420D">
        <w:rPr>
          <w:rFonts w:ascii="Arial" w:eastAsia="Times New Roman" w:hAnsi="Arial" w:cs="Arial"/>
          <w:color w:val="777777"/>
        </w:rPr>
        <w:t>Bảng giá trên chưa bào gồm VAT.</w:t>
      </w:r>
    </w:p>
    <w:p w14:paraId="1322D4B1" w14:textId="77777777"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t>Tùy vào từng dòng xe, từng hãng máy móc, thiết bị mà một số phụ kiện như bao da chìa khóa, ốp cản trước, hệ thống định vị, camera hành trình… sẽ có những giá thành khác nhau.</w:t>
      </w:r>
    </w:p>
    <w:p w14:paraId="3A463D67" w14:textId="77777777"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t>Chính vì thế, tùy vào giá thành và điều kiện về kinh tế của mình bạn có thể dễ dàng chọn những món phụ kiện phù hợp cho chiếc xế cưng của mình.</w:t>
      </w:r>
    </w:p>
    <w:p w14:paraId="33AE6D9D" w14:textId="77777777" w:rsidR="0080420D" w:rsidRP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lastRenderedPageBreak/>
        <w:t>Ngoài ra còn có các phụ kiện đồ chơi dành cho xe ô tô khác nữa mà chúng tôi chưa được liệt kê ra hết vì số lượng quá nhiều và đa dạng. Bạn có thể đến </w:t>
      </w:r>
      <w:r w:rsidRPr="0080420D">
        <w:rPr>
          <w:rFonts w:ascii="Arial" w:eastAsia="Times New Roman" w:hAnsi="Arial" w:cs="Arial"/>
          <w:b/>
          <w:bCs/>
          <w:color w:val="777777"/>
        </w:rPr>
        <w:t>Otovina</w:t>
      </w:r>
      <w:r w:rsidRPr="0080420D">
        <w:rPr>
          <w:rFonts w:ascii="Arial" w:eastAsia="Times New Roman" w:hAnsi="Arial" w:cs="Arial"/>
          <w:color w:val="777777"/>
        </w:rPr>
        <w:t> để được xem phụ kiện và lựa chọn trực tiếp.</w:t>
      </w:r>
    </w:p>
    <w:p w14:paraId="45AFE7AB" w14:textId="01E6C89E" w:rsidR="0080420D" w:rsidRDefault="0080420D" w:rsidP="0080420D">
      <w:pPr>
        <w:spacing w:after="312"/>
        <w:rPr>
          <w:rFonts w:ascii="Arial" w:eastAsia="Times New Roman" w:hAnsi="Arial" w:cs="Arial"/>
          <w:color w:val="777777"/>
        </w:rPr>
      </w:pPr>
      <w:r w:rsidRPr="0080420D">
        <w:rPr>
          <w:rFonts w:ascii="Arial" w:eastAsia="Times New Roman" w:hAnsi="Arial" w:cs="Arial"/>
          <w:color w:val="777777"/>
        </w:rPr>
        <w:t>Nếu quý khách có nhu cầu </w:t>
      </w:r>
      <w:r w:rsidRPr="0080420D">
        <w:rPr>
          <w:rFonts w:ascii="Arial" w:eastAsia="Times New Roman" w:hAnsi="Arial" w:cs="Arial"/>
          <w:b/>
          <w:bCs/>
          <w:color w:val="777777"/>
        </w:rPr>
        <w:t>mua phụ kiện đồ chơi cho xe ô tô</w:t>
      </w:r>
      <w:r w:rsidRPr="0080420D">
        <w:rPr>
          <w:rFonts w:ascii="Arial" w:eastAsia="Times New Roman" w:hAnsi="Arial" w:cs="Arial"/>
          <w:color w:val="777777"/>
        </w:rPr>
        <w:t> tốt và gần nhất cũng có thể bàn bạc trực tiếp với shop để đưa ra thỏa thuận chung vừa hợp xe vừa hợp người.</w:t>
      </w:r>
    </w:p>
    <w:p w14:paraId="0DAB0402" w14:textId="7BE5ED5E" w:rsidR="0080420D" w:rsidRPr="0080420D" w:rsidRDefault="0080420D" w:rsidP="0080420D">
      <w:pPr>
        <w:spacing w:after="312"/>
        <w:jc w:val="right"/>
        <w:rPr>
          <w:rFonts w:ascii="Arial" w:eastAsia="Times New Roman" w:hAnsi="Arial" w:cs="Arial"/>
          <w:b/>
          <w:bCs/>
          <w:color w:val="777777"/>
          <w:lang w:val="vi-VN"/>
        </w:rPr>
      </w:pPr>
      <w:r w:rsidRPr="0080420D">
        <w:rPr>
          <w:rFonts w:ascii="Arial" w:eastAsia="Times New Roman" w:hAnsi="Arial" w:cs="Arial"/>
          <w:b/>
          <w:bCs/>
          <w:color w:val="777777"/>
          <w:lang w:val="vi-VN"/>
        </w:rPr>
        <w:t>Người lập</w:t>
      </w:r>
    </w:p>
    <w:p w14:paraId="3ED02EAD" w14:textId="77777777" w:rsidR="0080420D" w:rsidRPr="0080420D" w:rsidRDefault="0080420D" w:rsidP="0080420D">
      <w:pPr>
        <w:spacing w:after="312"/>
        <w:rPr>
          <w:rFonts w:ascii="Arial" w:eastAsia="Times New Roman" w:hAnsi="Arial" w:cs="Arial"/>
          <w:color w:val="777777"/>
          <w:lang w:val="vi-VN"/>
        </w:rPr>
      </w:pPr>
    </w:p>
    <w:p w14:paraId="30B6F64C" w14:textId="77777777" w:rsidR="00D05B43" w:rsidRDefault="00D05B43"/>
    <w:sectPr w:rsidR="00D05B43"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3DB"/>
    <w:multiLevelType w:val="multilevel"/>
    <w:tmpl w:val="DE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D"/>
    <w:rsid w:val="001369B6"/>
    <w:rsid w:val="0080420D"/>
    <w:rsid w:val="00D05B4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5F52257"/>
  <w15:chartTrackingRefBased/>
  <w15:docId w15:val="{4B63176C-F686-D84D-BC48-CC08213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2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2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420D"/>
  </w:style>
  <w:style w:type="character" w:styleId="Strong">
    <w:name w:val="Strong"/>
    <w:basedOn w:val="DefaultParagraphFont"/>
    <w:uiPriority w:val="22"/>
    <w:qFormat/>
    <w:rsid w:val="0080420D"/>
    <w:rPr>
      <w:b/>
      <w:bCs/>
    </w:rPr>
  </w:style>
  <w:style w:type="character" w:styleId="Emphasis">
    <w:name w:val="Emphasis"/>
    <w:basedOn w:val="DefaultParagraphFont"/>
    <w:uiPriority w:val="20"/>
    <w:qFormat/>
    <w:rsid w:val="0080420D"/>
    <w:rPr>
      <w:i/>
      <w:iCs/>
    </w:rPr>
  </w:style>
  <w:style w:type="character" w:customStyle="1" w:styleId="Heading1Char">
    <w:name w:val="Heading 1 Char"/>
    <w:basedOn w:val="DefaultParagraphFont"/>
    <w:link w:val="Heading1"/>
    <w:uiPriority w:val="9"/>
    <w:rsid w:val="008042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2021-04-06T05:29:00Z</dcterms:created>
  <dcterms:modified xsi:type="dcterms:W3CDTF">2021-04-06T05:30:00Z</dcterms:modified>
</cp:coreProperties>
</file>